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05" w:rsidRPr="00CC5135" w:rsidRDefault="00EC3105" w:rsidP="00EC3105"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467"/>
        <w:gridCol w:w="1386"/>
        <w:gridCol w:w="1333"/>
        <w:gridCol w:w="1288"/>
        <w:gridCol w:w="1571"/>
        <w:gridCol w:w="1563"/>
        <w:gridCol w:w="6526"/>
      </w:tblGrid>
      <w:tr w:rsidR="00EC3105" w:rsidRPr="00D24A61" w:rsidTr="00EC3105">
        <w:trPr>
          <w:trHeight w:val="1200"/>
        </w:trPr>
        <w:tc>
          <w:tcPr>
            <w:tcW w:w="1467" w:type="dxa"/>
          </w:tcPr>
          <w:p w:rsidR="00EC3105" w:rsidRPr="00D24A61" w:rsidRDefault="00EC3105" w:rsidP="005B76EF">
            <w:r w:rsidRPr="00D24A61">
              <w:t>Різновид споживчого кредиту</w:t>
            </w:r>
          </w:p>
        </w:tc>
        <w:tc>
          <w:tcPr>
            <w:tcW w:w="1386" w:type="dxa"/>
            <w:noWrap/>
          </w:tcPr>
          <w:p w:rsidR="00EC3105" w:rsidRPr="00D24A61" w:rsidRDefault="00EC3105" w:rsidP="005B76EF">
            <w:r w:rsidRPr="00D24A61">
              <w:t>Цільова групи споживачів</w:t>
            </w:r>
          </w:p>
        </w:tc>
        <w:tc>
          <w:tcPr>
            <w:tcW w:w="1333" w:type="dxa"/>
            <w:noWrap/>
          </w:tcPr>
          <w:p w:rsidR="00EC3105" w:rsidRPr="00D24A61" w:rsidRDefault="00EC3105" w:rsidP="005B76EF">
            <w:r w:rsidRPr="00D24A61">
              <w:t>Процентна ставка</w:t>
            </w:r>
          </w:p>
        </w:tc>
        <w:tc>
          <w:tcPr>
            <w:tcW w:w="1288" w:type="dxa"/>
            <w:noWrap/>
          </w:tcPr>
          <w:p w:rsidR="00EC3105" w:rsidRPr="00D24A61" w:rsidRDefault="00EC3105" w:rsidP="005B76EF">
            <w:r w:rsidRPr="00D24A61">
              <w:t>Реальна річна процентна ставка</w:t>
            </w:r>
          </w:p>
        </w:tc>
        <w:tc>
          <w:tcPr>
            <w:tcW w:w="1571" w:type="dxa"/>
            <w:noWrap/>
          </w:tcPr>
          <w:p w:rsidR="00EC3105" w:rsidRPr="00D24A61" w:rsidRDefault="00EC3105" w:rsidP="005B76EF">
            <w:r>
              <w:t>В</w:t>
            </w:r>
            <w:r w:rsidRPr="00D24A61">
              <w:t>ид забезпечення</w:t>
            </w:r>
          </w:p>
        </w:tc>
        <w:tc>
          <w:tcPr>
            <w:tcW w:w="1563" w:type="dxa"/>
            <w:noWrap/>
          </w:tcPr>
          <w:p w:rsidR="00EC3105" w:rsidRPr="00D24A61" w:rsidRDefault="00EC3105" w:rsidP="005B76EF">
            <w:r w:rsidRPr="00D24A61">
              <w:t>Необхідність укладання споживачем договору про надання супровідних послуг</w:t>
            </w:r>
          </w:p>
        </w:tc>
        <w:tc>
          <w:tcPr>
            <w:tcW w:w="6526" w:type="dxa"/>
            <w:noWrap/>
          </w:tcPr>
          <w:p w:rsidR="00EC3105" w:rsidRPr="00D24A61" w:rsidRDefault="00EC3105" w:rsidP="005B76EF">
            <w:r w:rsidRPr="00D24A61">
              <w:t>Режим сплати процентів і основної суми кредиту</w:t>
            </w:r>
          </w:p>
        </w:tc>
      </w:tr>
      <w:tr w:rsidR="00EC3105" w:rsidRPr="00D24A61" w:rsidTr="00EC3105">
        <w:trPr>
          <w:trHeight w:val="1200"/>
        </w:trPr>
        <w:tc>
          <w:tcPr>
            <w:tcW w:w="1467" w:type="dxa"/>
            <w:hideMark/>
          </w:tcPr>
          <w:p w:rsidR="00EC3105" w:rsidRPr="00D24A61" w:rsidRDefault="00EC3105" w:rsidP="005B76EF">
            <w:r w:rsidRPr="00D24A61">
              <w:t>Споживчі кредити на інші потреби в межах мінімальної заробітної плати</w:t>
            </w:r>
          </w:p>
        </w:tc>
        <w:tc>
          <w:tcPr>
            <w:tcW w:w="1386" w:type="dxa"/>
            <w:noWrap/>
            <w:hideMark/>
          </w:tcPr>
          <w:p w:rsidR="00EC3105" w:rsidRPr="00D24A61" w:rsidRDefault="00EC3105" w:rsidP="005B76EF">
            <w:r w:rsidRPr="00D24A61">
              <w:t> </w:t>
            </w:r>
            <w:r>
              <w:t>Члени кредитної спілки</w:t>
            </w:r>
          </w:p>
        </w:tc>
        <w:tc>
          <w:tcPr>
            <w:tcW w:w="1333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54%</w:t>
            </w:r>
          </w:p>
        </w:tc>
        <w:tc>
          <w:tcPr>
            <w:tcW w:w="1288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147%</w:t>
            </w:r>
          </w:p>
        </w:tc>
        <w:tc>
          <w:tcPr>
            <w:tcW w:w="1571" w:type="dxa"/>
            <w:noWrap/>
            <w:hideMark/>
          </w:tcPr>
          <w:p w:rsidR="00EC3105" w:rsidRDefault="00EC3105" w:rsidP="005B76EF">
            <w:r>
              <w:t>Штраф, неустойка,</w:t>
            </w:r>
          </w:p>
          <w:p w:rsidR="00EC3105" w:rsidRDefault="00EC3105" w:rsidP="005B76EF">
            <w:r>
              <w:t>порука</w:t>
            </w:r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/>
        </w:tc>
        <w:tc>
          <w:tcPr>
            <w:tcW w:w="1563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Відсутня</w:t>
            </w:r>
          </w:p>
        </w:tc>
        <w:tc>
          <w:tcPr>
            <w:tcW w:w="6526" w:type="dxa"/>
            <w:noWrap/>
            <w:hideMark/>
          </w:tcPr>
          <w:p w:rsidR="00EC3105" w:rsidRPr="00D24A61" w:rsidRDefault="00EC3105" w:rsidP="005B76EF">
            <w:r w:rsidRPr="00D24A61">
              <w:t> </w:t>
            </w:r>
            <w:r w:rsidRPr="00DE2E00">
              <w:rPr>
                <w:sz w:val="28"/>
                <w:szCs w:val="28"/>
              </w:rPr>
              <w:t xml:space="preserve">Кредит сплачується щомісячно  </w:t>
            </w:r>
            <w:r>
              <w:rPr>
                <w:sz w:val="28"/>
                <w:szCs w:val="28"/>
              </w:rPr>
              <w:t>«</w:t>
            </w:r>
            <w:r w:rsidRPr="00DE2E00">
              <w:rPr>
                <w:sz w:val="28"/>
                <w:szCs w:val="28"/>
              </w:rPr>
              <w:t xml:space="preserve">рівними </w:t>
            </w:r>
            <w:r>
              <w:rPr>
                <w:sz w:val="28"/>
                <w:szCs w:val="28"/>
              </w:rPr>
              <w:t>доля</w:t>
            </w:r>
            <w:r w:rsidRPr="00DE2E00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»</w:t>
            </w:r>
            <w:r w:rsidRPr="00DE2E00">
              <w:rPr>
                <w:sz w:val="28"/>
                <w:szCs w:val="28"/>
              </w:rPr>
              <w:t xml:space="preserve"> , за яким передбачається незмінна (однакова) сума платежу протягом всього  строку дії договору. Такий платіж включає в себе як проценти, нараховані за користування кредитом, так і частину кредиту. При цьому нарахування процентів за весь строк дії договору проводиться на початкову видану суму кредиту.</w:t>
            </w:r>
          </w:p>
        </w:tc>
      </w:tr>
      <w:tr w:rsidR="00EC3105" w:rsidRPr="00D24A61" w:rsidTr="00EC3105">
        <w:trPr>
          <w:trHeight w:val="1500"/>
        </w:trPr>
        <w:tc>
          <w:tcPr>
            <w:tcW w:w="1467" w:type="dxa"/>
            <w:hideMark/>
          </w:tcPr>
          <w:p w:rsidR="00EC3105" w:rsidRPr="00D24A61" w:rsidRDefault="00EC3105" w:rsidP="005B76EF">
            <w:r w:rsidRPr="00D24A61">
              <w:t>Споживчі кредити на придбання аудіо-, відео-, побутової техніки та комп'ютерів</w:t>
            </w:r>
          </w:p>
        </w:tc>
        <w:tc>
          <w:tcPr>
            <w:tcW w:w="1386" w:type="dxa"/>
            <w:noWrap/>
            <w:hideMark/>
          </w:tcPr>
          <w:p w:rsidR="00EC3105" w:rsidRPr="00D24A61" w:rsidRDefault="00EC3105" w:rsidP="005B76EF">
            <w:r w:rsidRPr="00D24A61">
              <w:t> </w:t>
            </w:r>
            <w:r>
              <w:t>Члени кредитної спілки</w:t>
            </w:r>
          </w:p>
        </w:tc>
        <w:tc>
          <w:tcPr>
            <w:tcW w:w="1333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54%</w:t>
            </w:r>
          </w:p>
        </w:tc>
        <w:tc>
          <w:tcPr>
            <w:tcW w:w="1288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147%</w:t>
            </w:r>
          </w:p>
        </w:tc>
        <w:tc>
          <w:tcPr>
            <w:tcW w:w="1571" w:type="dxa"/>
            <w:noWrap/>
            <w:hideMark/>
          </w:tcPr>
          <w:p w:rsidR="00EC3105" w:rsidRDefault="00EC3105" w:rsidP="005B76EF">
            <w:r>
              <w:t>Штраф, неустойка,</w:t>
            </w:r>
          </w:p>
          <w:p w:rsidR="00EC3105" w:rsidRDefault="00EC3105" w:rsidP="005B76EF">
            <w:r>
              <w:t>порука</w:t>
            </w:r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/>
        </w:tc>
        <w:tc>
          <w:tcPr>
            <w:tcW w:w="1563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Відсутня</w:t>
            </w:r>
          </w:p>
        </w:tc>
        <w:tc>
          <w:tcPr>
            <w:tcW w:w="6526" w:type="dxa"/>
            <w:noWrap/>
            <w:hideMark/>
          </w:tcPr>
          <w:p w:rsidR="00EC3105" w:rsidRPr="00D24A61" w:rsidRDefault="00EC3105" w:rsidP="005B76EF">
            <w:r w:rsidRPr="00D24A61">
              <w:t>  </w:t>
            </w:r>
            <w:r w:rsidRPr="00DE2E00">
              <w:rPr>
                <w:sz w:val="28"/>
                <w:szCs w:val="28"/>
              </w:rPr>
              <w:t xml:space="preserve">Кредит сплачується щомісячно  </w:t>
            </w:r>
            <w:r>
              <w:rPr>
                <w:sz w:val="28"/>
                <w:szCs w:val="28"/>
              </w:rPr>
              <w:t>«</w:t>
            </w:r>
            <w:r w:rsidRPr="00DE2E00">
              <w:rPr>
                <w:sz w:val="28"/>
                <w:szCs w:val="28"/>
              </w:rPr>
              <w:t xml:space="preserve">рівними </w:t>
            </w:r>
            <w:r>
              <w:rPr>
                <w:sz w:val="28"/>
                <w:szCs w:val="28"/>
              </w:rPr>
              <w:t>доля</w:t>
            </w:r>
            <w:r w:rsidRPr="00DE2E00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»</w:t>
            </w:r>
            <w:r w:rsidRPr="00DE2E00">
              <w:rPr>
                <w:sz w:val="28"/>
                <w:szCs w:val="28"/>
              </w:rPr>
              <w:t xml:space="preserve"> , за яким передбачається незмінна (однакова) сума платежу протягом всього  строку дії договору. Такий платіж включає в себе як проценти, нараховані за користування кредитом, так і частину кредиту. При цьому нарахування процентів за весь строк дії договору проводиться на початкову видану суму кредиту.</w:t>
            </w:r>
          </w:p>
        </w:tc>
      </w:tr>
      <w:tr w:rsidR="00EC3105" w:rsidRPr="00D24A61" w:rsidTr="00EC3105">
        <w:trPr>
          <w:trHeight w:val="900"/>
        </w:trPr>
        <w:tc>
          <w:tcPr>
            <w:tcW w:w="1467" w:type="dxa"/>
            <w:hideMark/>
          </w:tcPr>
          <w:p w:rsidR="00EC3105" w:rsidRPr="00D24A61" w:rsidRDefault="00EC3105" w:rsidP="005B76EF">
            <w:r w:rsidRPr="00D24A61">
              <w:t>Споживчі кредити на інші потреби</w:t>
            </w:r>
          </w:p>
        </w:tc>
        <w:tc>
          <w:tcPr>
            <w:tcW w:w="1386" w:type="dxa"/>
            <w:noWrap/>
            <w:hideMark/>
          </w:tcPr>
          <w:p w:rsidR="00EC3105" w:rsidRPr="00D24A61" w:rsidRDefault="00EC3105" w:rsidP="005B76EF">
            <w:r w:rsidRPr="00D24A61">
              <w:t> </w:t>
            </w:r>
            <w:r>
              <w:t>Члени кредитної спілки</w:t>
            </w:r>
          </w:p>
        </w:tc>
        <w:tc>
          <w:tcPr>
            <w:tcW w:w="1333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54%</w:t>
            </w:r>
          </w:p>
        </w:tc>
        <w:tc>
          <w:tcPr>
            <w:tcW w:w="1288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147%</w:t>
            </w:r>
          </w:p>
        </w:tc>
        <w:tc>
          <w:tcPr>
            <w:tcW w:w="1571" w:type="dxa"/>
            <w:noWrap/>
            <w:hideMark/>
          </w:tcPr>
          <w:p w:rsidR="00EC3105" w:rsidRDefault="00EC3105" w:rsidP="005B76EF">
            <w:r>
              <w:t>Штраф, неустойка,</w:t>
            </w:r>
          </w:p>
          <w:p w:rsidR="00EC3105" w:rsidRDefault="00EC3105" w:rsidP="005B76EF">
            <w:r>
              <w:t>порука</w:t>
            </w:r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/>
        </w:tc>
        <w:tc>
          <w:tcPr>
            <w:tcW w:w="1563" w:type="dxa"/>
            <w:noWrap/>
            <w:hideMark/>
          </w:tcPr>
          <w:p w:rsidR="00EC3105" w:rsidRDefault="00EC3105" w:rsidP="005B76EF">
            <w:r w:rsidRPr="00D24A61">
              <w:t> </w:t>
            </w:r>
          </w:p>
          <w:p w:rsidR="00EC3105" w:rsidRDefault="00EC3105" w:rsidP="005B76EF"/>
          <w:p w:rsidR="00EC3105" w:rsidRPr="00D24A61" w:rsidRDefault="00EC3105" w:rsidP="005B76EF">
            <w:r>
              <w:t>Відсутня</w:t>
            </w:r>
          </w:p>
        </w:tc>
        <w:tc>
          <w:tcPr>
            <w:tcW w:w="6526" w:type="dxa"/>
            <w:noWrap/>
            <w:hideMark/>
          </w:tcPr>
          <w:p w:rsidR="00EC3105" w:rsidRPr="00D24A61" w:rsidRDefault="00EC3105" w:rsidP="005B76EF">
            <w:r w:rsidRPr="00D24A61">
              <w:t> </w:t>
            </w:r>
            <w:r w:rsidRPr="00DE2E00">
              <w:rPr>
                <w:sz w:val="28"/>
                <w:szCs w:val="28"/>
              </w:rPr>
              <w:t xml:space="preserve">Кредит сплачується щомісячно  </w:t>
            </w:r>
            <w:r>
              <w:rPr>
                <w:sz w:val="28"/>
                <w:szCs w:val="28"/>
              </w:rPr>
              <w:t>«</w:t>
            </w:r>
            <w:r w:rsidRPr="00DE2E00">
              <w:rPr>
                <w:sz w:val="28"/>
                <w:szCs w:val="28"/>
              </w:rPr>
              <w:t xml:space="preserve">рівними </w:t>
            </w:r>
            <w:r>
              <w:rPr>
                <w:sz w:val="28"/>
                <w:szCs w:val="28"/>
              </w:rPr>
              <w:t>доля</w:t>
            </w:r>
            <w:r w:rsidRPr="00DE2E00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»</w:t>
            </w:r>
            <w:r w:rsidRPr="00DE2E00">
              <w:rPr>
                <w:sz w:val="28"/>
                <w:szCs w:val="28"/>
              </w:rPr>
              <w:t xml:space="preserve"> , за яким передбачається незмінна (однакова) сума платежу протягом всього  строку дії договору. Такий платіж включає в себе як проценти, нараховані за користування кредитом, так і частину кредиту. При цьому нарахування процентів за весь строк дії договору проводиться на початкову видану суму кредиту.</w:t>
            </w:r>
            <w:r w:rsidRPr="00D24A61">
              <w:t> </w:t>
            </w:r>
          </w:p>
        </w:tc>
      </w:tr>
    </w:tbl>
    <w:p w:rsidR="00780473" w:rsidRDefault="00780473"/>
    <w:sectPr w:rsidR="00780473" w:rsidSect="00EC31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66"/>
    <w:rsid w:val="00136066"/>
    <w:rsid w:val="00780473"/>
    <w:rsid w:val="00E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1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1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2022-01-08T17:13:00Z</dcterms:created>
  <dcterms:modified xsi:type="dcterms:W3CDTF">2022-01-08T17:14:00Z</dcterms:modified>
</cp:coreProperties>
</file>